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CE130" w14:textId="6187BCE1" w:rsidR="00513604" w:rsidRPr="00D30B3D" w:rsidRDefault="00222797" w:rsidP="004C053D">
      <w:pPr>
        <w:jc w:val="center"/>
        <w:rPr>
          <w:sz w:val="28"/>
          <w:szCs w:val="28"/>
        </w:rPr>
      </w:pPr>
      <w:bookmarkStart w:id="0" w:name="Ueberschrift"/>
      <w:bookmarkEnd w:id="0"/>
      <w:r w:rsidRPr="00D30B3D">
        <w:rPr>
          <w:sz w:val="28"/>
          <w:szCs w:val="28"/>
        </w:rPr>
        <w:t>Begehung von Zahnarztpraxen</w:t>
      </w:r>
      <w:r w:rsidR="003A7CCD" w:rsidRPr="00D30B3D">
        <w:rPr>
          <w:sz w:val="28"/>
          <w:szCs w:val="28"/>
        </w:rPr>
        <w:br/>
      </w:r>
      <w:r w:rsidRPr="00D30B3D">
        <w:rPr>
          <w:sz w:val="28"/>
          <w:szCs w:val="28"/>
        </w:rPr>
        <w:t>durch die Gesundheitsämter</w:t>
      </w:r>
      <w:r w:rsidR="003A7CCD" w:rsidRPr="00D30B3D">
        <w:rPr>
          <w:sz w:val="28"/>
          <w:szCs w:val="28"/>
        </w:rPr>
        <w:t xml:space="preserve"> </w:t>
      </w:r>
    </w:p>
    <w:p w14:paraId="3A414C90" w14:textId="708F3071" w:rsidR="00222797" w:rsidRPr="00D30B3D" w:rsidRDefault="00222797" w:rsidP="004C053D">
      <w:pPr>
        <w:jc w:val="center"/>
        <w:rPr>
          <w:sz w:val="28"/>
          <w:szCs w:val="28"/>
        </w:rPr>
      </w:pPr>
      <w:r w:rsidRPr="00D30B3D">
        <w:rPr>
          <w:sz w:val="28"/>
          <w:szCs w:val="28"/>
        </w:rPr>
        <w:t>-</w:t>
      </w:r>
      <w:r w:rsidR="003A7CCD" w:rsidRPr="00D30B3D">
        <w:rPr>
          <w:sz w:val="28"/>
          <w:szCs w:val="28"/>
        </w:rPr>
        <w:t xml:space="preserve"> </w:t>
      </w:r>
      <w:r w:rsidR="00C661A2" w:rsidRPr="00D30B3D">
        <w:rPr>
          <w:sz w:val="28"/>
          <w:szCs w:val="28"/>
        </w:rPr>
        <w:t>R</w:t>
      </w:r>
      <w:r w:rsidRPr="00D30B3D">
        <w:rPr>
          <w:sz w:val="28"/>
          <w:szCs w:val="28"/>
        </w:rPr>
        <w:t>echtliche Aspekte</w:t>
      </w:r>
      <w:r w:rsidR="003A7CCD" w:rsidRPr="00D30B3D">
        <w:rPr>
          <w:sz w:val="28"/>
          <w:szCs w:val="28"/>
        </w:rPr>
        <w:t xml:space="preserve"> </w:t>
      </w:r>
      <w:r w:rsidR="00C661A2" w:rsidRPr="00D30B3D">
        <w:rPr>
          <w:sz w:val="28"/>
          <w:szCs w:val="28"/>
        </w:rPr>
        <w:t xml:space="preserve">(IfSG, ÖGDG) </w:t>
      </w:r>
      <w:r w:rsidRPr="00D30B3D">
        <w:rPr>
          <w:sz w:val="28"/>
          <w:szCs w:val="28"/>
        </w:rPr>
        <w:t>-</w:t>
      </w:r>
    </w:p>
    <w:p w14:paraId="1C338E43" w14:textId="1E5DABB7" w:rsidR="00222797" w:rsidRPr="00D30B3D" w:rsidRDefault="00222797" w:rsidP="00222797">
      <w:pPr>
        <w:jc w:val="both"/>
        <w:rPr>
          <w:b w:val="0"/>
          <w:bCs/>
        </w:rPr>
      </w:pPr>
    </w:p>
    <w:p w14:paraId="1FB9EF19" w14:textId="77777777" w:rsidR="00222797" w:rsidRPr="00D30B3D" w:rsidRDefault="00222797" w:rsidP="00222797">
      <w:pPr>
        <w:rPr>
          <w:bCs/>
        </w:rPr>
      </w:pPr>
      <w:r w:rsidRPr="00D30B3D">
        <w:rPr>
          <w:bCs/>
        </w:rPr>
        <w:t>Einleitung:</w:t>
      </w:r>
    </w:p>
    <w:p w14:paraId="3B164290" w14:textId="77777777" w:rsidR="00222797" w:rsidRPr="00D30B3D" w:rsidRDefault="00222797" w:rsidP="00222797">
      <w:pPr>
        <w:rPr>
          <w:b w:val="0"/>
        </w:rPr>
      </w:pPr>
    </w:p>
    <w:p w14:paraId="7D5C5617" w14:textId="21567481" w:rsidR="00222797" w:rsidRPr="00D30B3D" w:rsidRDefault="00222797" w:rsidP="00222797">
      <w:pPr>
        <w:jc w:val="both"/>
        <w:rPr>
          <w:b w:val="0"/>
        </w:rPr>
      </w:pPr>
      <w:r w:rsidRPr="00D30B3D">
        <w:rPr>
          <w:b w:val="0"/>
        </w:rPr>
        <w:t xml:space="preserve">Beschleunigt durch die Corona-Pandemie finden in letzter Zeit vermehrt Kontrollen der örtlichen </w:t>
      </w:r>
      <w:r w:rsidR="00841C8B" w:rsidRPr="00D30B3D">
        <w:rPr>
          <w:b w:val="0"/>
        </w:rPr>
        <w:br/>
      </w:r>
      <w:r w:rsidRPr="00D30B3D">
        <w:rPr>
          <w:b w:val="0"/>
        </w:rPr>
        <w:t xml:space="preserve">Gesundheitsämter auch in Zahnarztpraxen statt. Die Kontrollen können sich nicht nur auf die Überprüfung der Einhaltung der Maskenpflicht, sondern auch auf weitere Aspekte des Infektionsschutzes erstrecken. Um Unsicherheiten vorzubeugen, sollen im Folgenden die wesentlichen rechtlichen </w:t>
      </w:r>
      <w:r w:rsidR="00841C8B" w:rsidRPr="00D30B3D">
        <w:rPr>
          <w:b w:val="0"/>
        </w:rPr>
        <w:br/>
      </w:r>
      <w:r w:rsidRPr="00D30B3D">
        <w:rPr>
          <w:b w:val="0"/>
        </w:rPr>
        <w:t>Aspekte einer Begehung umrissen und so den Kammermitgliedern eine erste Orientierung g</w:t>
      </w:r>
      <w:r w:rsidR="00847F46">
        <w:rPr>
          <w:b w:val="0"/>
        </w:rPr>
        <w:t>eg</w:t>
      </w:r>
      <w:r w:rsidRPr="00D30B3D">
        <w:rPr>
          <w:b w:val="0"/>
        </w:rPr>
        <w:t>eben werden.</w:t>
      </w:r>
    </w:p>
    <w:p w14:paraId="6B98015B" w14:textId="7DB3941A" w:rsidR="00222797" w:rsidRPr="00D30B3D" w:rsidRDefault="00222797" w:rsidP="00222797">
      <w:pPr>
        <w:jc w:val="both"/>
        <w:rPr>
          <w:b w:val="0"/>
        </w:rPr>
      </w:pPr>
    </w:p>
    <w:p w14:paraId="6D45AAD8" w14:textId="77777777" w:rsidR="00222797" w:rsidRPr="00D30B3D" w:rsidRDefault="00222797" w:rsidP="00222797">
      <w:pPr>
        <w:jc w:val="both"/>
        <w:rPr>
          <w:b w:val="0"/>
          <w:bCs/>
        </w:rPr>
      </w:pPr>
    </w:p>
    <w:p w14:paraId="7E07B265" w14:textId="2774427F" w:rsidR="00513604" w:rsidRPr="00D30B3D" w:rsidRDefault="00222797" w:rsidP="00841C8B">
      <w:pPr>
        <w:numPr>
          <w:ilvl w:val="0"/>
          <w:numId w:val="3"/>
        </w:numPr>
        <w:ind w:left="426" w:hanging="426"/>
        <w:rPr>
          <w:bCs/>
        </w:rPr>
      </w:pPr>
      <w:r w:rsidRPr="00D30B3D">
        <w:rPr>
          <w:bCs/>
        </w:rPr>
        <w:t>Rechtliche Grundlagen</w:t>
      </w:r>
    </w:p>
    <w:p w14:paraId="3227C426" w14:textId="518E7EE6" w:rsidR="00222797" w:rsidRPr="00D30B3D" w:rsidRDefault="00222797" w:rsidP="00222797">
      <w:pPr>
        <w:rPr>
          <w:b w:val="0"/>
        </w:rPr>
      </w:pPr>
    </w:p>
    <w:p w14:paraId="62A71525" w14:textId="132842B4" w:rsidR="00222797" w:rsidRPr="00D30B3D" w:rsidRDefault="001C3377" w:rsidP="004C37EB">
      <w:pPr>
        <w:jc w:val="both"/>
        <w:rPr>
          <w:b w:val="0"/>
        </w:rPr>
      </w:pPr>
      <w:r w:rsidRPr="00D30B3D">
        <w:rPr>
          <w:b w:val="0"/>
        </w:rPr>
        <w:t xml:space="preserve">Gemäß § 23 Abs. 3 Nr. 8 des Infektionsschutzgesetztes (IfSG) haben Zahnarztpraxen nach dem Stand der medizinischen Wissenschaft (dieser entspricht den aktuellen Empfehlungen des Robert Koch-Instituts) Maßnahmen zu treffen, um nosokomiale Infektionen zu verhüten und die Weiterverbreitung von Krankheitserregern zu vermeiden. </w:t>
      </w:r>
      <w:r w:rsidR="000769FC" w:rsidRPr="00D30B3D">
        <w:rPr>
          <w:b w:val="0"/>
        </w:rPr>
        <w:t xml:space="preserve">Zahnarztpraxen können gemäß § 23 Abs. 6 </w:t>
      </w:r>
      <w:r w:rsidR="003A7D32" w:rsidRPr="00D30B3D">
        <w:rPr>
          <w:b w:val="0"/>
        </w:rPr>
        <w:t xml:space="preserve">IfSG </w:t>
      </w:r>
      <w:r w:rsidR="004C37EB" w:rsidRPr="00D30B3D">
        <w:rPr>
          <w:b w:val="0"/>
        </w:rPr>
        <w:t xml:space="preserve">und § 10 Gesetz über den öffentlichen Gesundheitsdienst (Gesundheitsdienstgesetz - ÖGDG) </w:t>
      </w:r>
      <w:r w:rsidR="003A7D32" w:rsidRPr="00D30B3D">
        <w:rPr>
          <w:b w:val="0"/>
        </w:rPr>
        <w:t>infektionshygienisch von den Gesundheitsämtern überwacht werden.</w:t>
      </w:r>
    </w:p>
    <w:p w14:paraId="1028ABA0" w14:textId="0BE4DD3A" w:rsidR="00222797" w:rsidRPr="00D30B3D" w:rsidRDefault="00222797" w:rsidP="00650830">
      <w:pPr>
        <w:jc w:val="both"/>
        <w:rPr>
          <w:b w:val="0"/>
        </w:rPr>
      </w:pPr>
    </w:p>
    <w:p w14:paraId="6607BC01" w14:textId="4199758F" w:rsidR="0052714C" w:rsidRPr="00D30B3D" w:rsidRDefault="003A7D32" w:rsidP="00650830">
      <w:pPr>
        <w:jc w:val="both"/>
        <w:rPr>
          <w:b w:val="0"/>
        </w:rPr>
      </w:pPr>
      <w:r w:rsidRPr="00D30B3D">
        <w:rPr>
          <w:b w:val="0"/>
        </w:rPr>
        <w:t xml:space="preserve">Von den Zahnarztpraxen </w:t>
      </w:r>
      <w:r w:rsidR="0052714C" w:rsidRPr="00D30B3D">
        <w:rPr>
          <w:b w:val="0"/>
        </w:rPr>
        <w:t xml:space="preserve">sind die Empfehlungen der Kommission für Krankenhaushygiene und </w:t>
      </w:r>
      <w:r w:rsidR="0061292C" w:rsidRPr="00D30B3D">
        <w:rPr>
          <w:b w:val="0"/>
        </w:rPr>
        <w:br/>
      </w:r>
      <w:r w:rsidR="0052714C" w:rsidRPr="00D30B3D">
        <w:rPr>
          <w:b w:val="0"/>
        </w:rPr>
        <w:t>Infektionsprävention beim Robert</w:t>
      </w:r>
      <w:r w:rsidR="0061292C" w:rsidRPr="00D30B3D">
        <w:rPr>
          <w:b w:val="0"/>
        </w:rPr>
        <w:t xml:space="preserve"> </w:t>
      </w:r>
      <w:r w:rsidR="0052714C" w:rsidRPr="00D30B3D">
        <w:rPr>
          <w:b w:val="0"/>
        </w:rPr>
        <w:t xml:space="preserve">Koch-Institut (KRINKO): „Infektionsprävention in der Zahnheilkunde </w:t>
      </w:r>
      <w:r w:rsidR="0061292C" w:rsidRPr="00D30B3D">
        <w:rPr>
          <w:b w:val="0"/>
        </w:rPr>
        <w:t>-</w:t>
      </w:r>
      <w:r w:rsidR="0052714C" w:rsidRPr="00D30B3D">
        <w:rPr>
          <w:b w:val="0"/>
        </w:rPr>
        <w:t xml:space="preserve"> Anforderungen an die Hygiene“ und „Anforderungen an die Hygiene bei der Reinigung und </w:t>
      </w:r>
      <w:r w:rsidR="0061292C" w:rsidRPr="00D30B3D">
        <w:rPr>
          <w:b w:val="0"/>
        </w:rPr>
        <w:br/>
      </w:r>
      <w:r w:rsidR="0052714C" w:rsidRPr="00D30B3D">
        <w:rPr>
          <w:b w:val="0"/>
        </w:rPr>
        <w:t>Desinfektion von Flächen“</w:t>
      </w:r>
      <w:r w:rsidRPr="00D30B3D">
        <w:rPr>
          <w:b w:val="0"/>
        </w:rPr>
        <w:t xml:space="preserve"> zu berücksichtigen.</w:t>
      </w:r>
    </w:p>
    <w:p w14:paraId="42E6A892" w14:textId="25DDB77E" w:rsidR="0052714C" w:rsidRPr="00D30B3D" w:rsidRDefault="0052714C" w:rsidP="0052714C">
      <w:pPr>
        <w:rPr>
          <w:b w:val="0"/>
        </w:rPr>
      </w:pPr>
    </w:p>
    <w:p w14:paraId="45D51711" w14:textId="2F2F0F8B" w:rsidR="0052714C" w:rsidRPr="00D30B3D" w:rsidRDefault="0052714C" w:rsidP="0052714C">
      <w:pPr>
        <w:rPr>
          <w:b w:val="0"/>
        </w:rPr>
      </w:pPr>
      <w:r w:rsidRPr="00D30B3D">
        <w:rPr>
          <w:b w:val="0"/>
        </w:rPr>
        <w:t>Im Wesentlichen sind folgende Maßnahmen von Relevanz:</w:t>
      </w:r>
    </w:p>
    <w:p w14:paraId="3B740A2F" w14:textId="6DB779E0" w:rsidR="0052714C" w:rsidRPr="00D30B3D" w:rsidRDefault="0052714C" w:rsidP="0052714C">
      <w:pPr>
        <w:rPr>
          <w:b w:val="0"/>
        </w:rPr>
      </w:pPr>
    </w:p>
    <w:p w14:paraId="32CB672F" w14:textId="70163F3E" w:rsidR="0052714C" w:rsidRPr="00D30B3D" w:rsidRDefault="0052714C" w:rsidP="008B4F6B">
      <w:pPr>
        <w:numPr>
          <w:ilvl w:val="0"/>
          <w:numId w:val="4"/>
        </w:numPr>
        <w:ind w:left="426" w:hanging="426"/>
        <w:jc w:val="both"/>
        <w:rPr>
          <w:b w:val="0"/>
        </w:rPr>
      </w:pPr>
      <w:r w:rsidRPr="00D30B3D">
        <w:rPr>
          <w:b w:val="0"/>
        </w:rPr>
        <w:t>Anamnese</w:t>
      </w:r>
    </w:p>
    <w:p w14:paraId="20850DCF" w14:textId="2878AA1F" w:rsidR="0052714C" w:rsidRPr="00D30B3D" w:rsidRDefault="0052714C" w:rsidP="008B4F6B">
      <w:pPr>
        <w:numPr>
          <w:ilvl w:val="0"/>
          <w:numId w:val="4"/>
        </w:numPr>
        <w:ind w:left="426" w:hanging="426"/>
        <w:jc w:val="both"/>
        <w:rPr>
          <w:b w:val="0"/>
        </w:rPr>
      </w:pPr>
      <w:r w:rsidRPr="00D30B3D">
        <w:rPr>
          <w:b w:val="0"/>
        </w:rPr>
        <w:t>Orale Antisepsis</w:t>
      </w:r>
    </w:p>
    <w:p w14:paraId="3823393C" w14:textId="72CAEBC4" w:rsidR="0052714C" w:rsidRPr="00D30B3D" w:rsidRDefault="0052714C" w:rsidP="008B4F6B">
      <w:pPr>
        <w:numPr>
          <w:ilvl w:val="0"/>
          <w:numId w:val="4"/>
        </w:numPr>
        <w:ind w:left="426" w:hanging="426"/>
        <w:jc w:val="both"/>
        <w:rPr>
          <w:b w:val="0"/>
        </w:rPr>
      </w:pPr>
      <w:r w:rsidRPr="00D30B3D">
        <w:rPr>
          <w:b w:val="0"/>
        </w:rPr>
        <w:t>Antibiotikaprophylaxe</w:t>
      </w:r>
    </w:p>
    <w:p w14:paraId="6DC3AB39" w14:textId="114267DE" w:rsidR="0052714C" w:rsidRPr="00D30B3D" w:rsidRDefault="0052714C" w:rsidP="008B4F6B">
      <w:pPr>
        <w:numPr>
          <w:ilvl w:val="0"/>
          <w:numId w:val="4"/>
        </w:numPr>
        <w:ind w:left="426" w:hanging="426"/>
        <w:jc w:val="both"/>
        <w:rPr>
          <w:b w:val="0"/>
        </w:rPr>
      </w:pPr>
      <w:r w:rsidRPr="00D30B3D">
        <w:rPr>
          <w:b w:val="0"/>
        </w:rPr>
        <w:t>Händehygiene</w:t>
      </w:r>
    </w:p>
    <w:p w14:paraId="3B9761BD" w14:textId="2E919DDF" w:rsidR="0052714C" w:rsidRPr="00D30B3D" w:rsidRDefault="0052714C" w:rsidP="008B4F6B">
      <w:pPr>
        <w:numPr>
          <w:ilvl w:val="0"/>
          <w:numId w:val="4"/>
        </w:numPr>
        <w:ind w:left="426" w:hanging="426"/>
        <w:jc w:val="both"/>
        <w:rPr>
          <w:b w:val="0"/>
        </w:rPr>
      </w:pPr>
      <w:r w:rsidRPr="00D30B3D">
        <w:rPr>
          <w:b w:val="0"/>
        </w:rPr>
        <w:t>Flächendesinfektion</w:t>
      </w:r>
    </w:p>
    <w:p w14:paraId="1E216901" w14:textId="6F36AB39" w:rsidR="0052714C" w:rsidRPr="00D30B3D" w:rsidRDefault="0052714C" w:rsidP="008B4F6B">
      <w:pPr>
        <w:numPr>
          <w:ilvl w:val="0"/>
          <w:numId w:val="4"/>
        </w:numPr>
        <w:ind w:left="426" w:hanging="426"/>
        <w:jc w:val="both"/>
        <w:rPr>
          <w:b w:val="0"/>
        </w:rPr>
      </w:pPr>
      <w:r w:rsidRPr="00D30B3D">
        <w:rPr>
          <w:b w:val="0"/>
        </w:rPr>
        <w:t>Schutz vor Kontamination (P</w:t>
      </w:r>
      <w:r w:rsidR="008B4F6B" w:rsidRPr="00D30B3D">
        <w:rPr>
          <w:b w:val="0"/>
        </w:rPr>
        <w:t>ersönliche Schutzausrüstung</w:t>
      </w:r>
      <w:r w:rsidRPr="00D30B3D">
        <w:rPr>
          <w:b w:val="0"/>
        </w:rPr>
        <w:t xml:space="preserve"> etc.)</w:t>
      </w:r>
    </w:p>
    <w:p w14:paraId="25C4EFC1" w14:textId="4C27D322" w:rsidR="0052714C" w:rsidRPr="00D30B3D" w:rsidRDefault="0052714C" w:rsidP="008B4F6B">
      <w:pPr>
        <w:numPr>
          <w:ilvl w:val="0"/>
          <w:numId w:val="4"/>
        </w:numPr>
        <w:ind w:left="426" w:hanging="426"/>
        <w:jc w:val="both"/>
        <w:rPr>
          <w:b w:val="0"/>
        </w:rPr>
      </w:pPr>
      <w:r w:rsidRPr="00D30B3D">
        <w:rPr>
          <w:b w:val="0"/>
        </w:rPr>
        <w:t>Impfprophylaxe</w:t>
      </w:r>
    </w:p>
    <w:p w14:paraId="41F4171F" w14:textId="2C3FAC7F" w:rsidR="0052714C" w:rsidRPr="00D30B3D" w:rsidRDefault="0052714C" w:rsidP="008B4F6B">
      <w:pPr>
        <w:numPr>
          <w:ilvl w:val="0"/>
          <w:numId w:val="4"/>
        </w:numPr>
        <w:ind w:left="426" w:hanging="426"/>
        <w:jc w:val="both"/>
        <w:rPr>
          <w:b w:val="0"/>
        </w:rPr>
      </w:pPr>
      <w:r w:rsidRPr="00D30B3D">
        <w:rPr>
          <w:b w:val="0"/>
        </w:rPr>
        <w:t>ggf. Beschäftigungsbeschränkungen</w:t>
      </w:r>
    </w:p>
    <w:p w14:paraId="21C93FC8" w14:textId="40A0A59C" w:rsidR="005A487C" w:rsidRPr="00D30B3D" w:rsidRDefault="005A487C" w:rsidP="005A487C">
      <w:pPr>
        <w:rPr>
          <w:b w:val="0"/>
        </w:rPr>
      </w:pPr>
    </w:p>
    <w:p w14:paraId="6DFE3639" w14:textId="3264C943" w:rsidR="005A487C" w:rsidRPr="00D30B3D" w:rsidRDefault="00847F46" w:rsidP="005A487C">
      <w:pPr>
        <w:rPr>
          <w:b w:val="0"/>
          <w:color w:val="800080"/>
        </w:rPr>
      </w:pPr>
      <w:hyperlink r:id="rId7" w:history="1">
        <w:r w:rsidR="005A487C" w:rsidRPr="00D30B3D">
          <w:rPr>
            <w:rStyle w:val="Hyperlink"/>
            <w:b w:val="0"/>
            <w:color w:val="800080"/>
            <w:u w:val="none"/>
          </w:rPr>
          <w:t xml:space="preserve">Eine Checkliste zur Vorbereitung auf eine infektionshygienische Begehung finden Sie im </w:t>
        </w:r>
        <w:r w:rsidR="0061292C" w:rsidRPr="00D30B3D">
          <w:rPr>
            <w:rStyle w:val="Hyperlink"/>
            <w:b w:val="0"/>
            <w:color w:val="800080"/>
            <w:u w:val="none"/>
          </w:rPr>
          <w:t>PRAXIS-H</w:t>
        </w:r>
        <w:r w:rsidR="005A487C" w:rsidRPr="00D30B3D">
          <w:rPr>
            <w:rStyle w:val="Hyperlink"/>
            <w:b w:val="0"/>
            <w:color w:val="800080"/>
            <w:u w:val="none"/>
          </w:rPr>
          <w:t xml:space="preserve">andbuch unter </w:t>
        </w:r>
        <w:r w:rsidR="0061292C" w:rsidRPr="00D30B3D">
          <w:rPr>
            <w:rStyle w:val="Hyperlink"/>
            <w:b w:val="0"/>
            <w:color w:val="800080"/>
            <w:u w:val="none"/>
          </w:rPr>
          <w:t>der „</w:t>
        </w:r>
        <w:r w:rsidR="005A487C" w:rsidRPr="00D30B3D">
          <w:rPr>
            <w:rStyle w:val="Hyperlink"/>
            <w:b w:val="0"/>
            <w:color w:val="800080"/>
            <w:u w:val="none"/>
          </w:rPr>
          <w:t xml:space="preserve">Schaltfläche </w:t>
        </w:r>
        <w:r w:rsidR="0061292C" w:rsidRPr="00D30B3D">
          <w:rPr>
            <w:rStyle w:val="Hyperlink"/>
            <w:b w:val="0"/>
            <w:color w:val="800080"/>
            <w:u w:val="none"/>
          </w:rPr>
          <w:t>5. Praxisbegehung - Was nun?“ (Ziffer 5.1.2)</w:t>
        </w:r>
        <w:r w:rsidR="005A487C" w:rsidRPr="00D30B3D">
          <w:rPr>
            <w:rStyle w:val="Hyperlink"/>
            <w:b w:val="0"/>
            <w:color w:val="800080"/>
            <w:u w:val="none"/>
          </w:rPr>
          <w:t>.</w:t>
        </w:r>
      </w:hyperlink>
    </w:p>
    <w:p w14:paraId="7C9641D4" w14:textId="2B6852A2" w:rsidR="00222797" w:rsidRPr="00D30B3D" w:rsidRDefault="00222797" w:rsidP="004C37EB">
      <w:pPr>
        <w:rPr>
          <w:b w:val="0"/>
        </w:rPr>
      </w:pPr>
    </w:p>
    <w:p w14:paraId="2B5A5016" w14:textId="509A4E02" w:rsidR="000769FC" w:rsidRPr="00D30B3D" w:rsidRDefault="000769FC" w:rsidP="00650830">
      <w:pPr>
        <w:jc w:val="both"/>
        <w:rPr>
          <w:b w:val="0"/>
        </w:rPr>
      </w:pPr>
      <w:r w:rsidRPr="00D30B3D">
        <w:rPr>
          <w:b w:val="0"/>
        </w:rPr>
        <w:t>Überdies gibt § 36 Abs. 2 IfSG den Gesundheitsämtern die Möglichkeit Einrichtungen infektions</w:t>
      </w:r>
      <w:r w:rsidR="0061292C" w:rsidRPr="00D30B3D">
        <w:rPr>
          <w:b w:val="0"/>
        </w:rPr>
        <w:t>-</w:t>
      </w:r>
      <w:r w:rsidR="0061292C" w:rsidRPr="00D30B3D">
        <w:rPr>
          <w:b w:val="0"/>
        </w:rPr>
        <w:br/>
      </w:r>
      <w:r w:rsidRPr="00D30B3D">
        <w:rPr>
          <w:b w:val="0"/>
        </w:rPr>
        <w:t xml:space="preserve">hygienisch zu überwachen, bei denen die Möglichkeit besteht, dass durch Tätigkeiten am Menschen durch Blut Krankheitserreger übertragen werden. Dies ist bei Zahnarztpraxen, in denen invasive </w:t>
      </w:r>
      <w:r w:rsidR="0061292C" w:rsidRPr="00D30B3D">
        <w:rPr>
          <w:b w:val="0"/>
        </w:rPr>
        <w:br/>
      </w:r>
      <w:r w:rsidRPr="00D30B3D">
        <w:rPr>
          <w:b w:val="0"/>
        </w:rPr>
        <w:t>Eingriffe vorgenommen werden, regelmäßig der Fall.</w:t>
      </w:r>
    </w:p>
    <w:p w14:paraId="6D203DC9" w14:textId="1CFC6C0C" w:rsidR="003A7D32" w:rsidRPr="00D30B3D" w:rsidRDefault="003A7D32" w:rsidP="00650830">
      <w:pPr>
        <w:jc w:val="both"/>
        <w:rPr>
          <w:b w:val="0"/>
        </w:rPr>
      </w:pPr>
    </w:p>
    <w:p w14:paraId="1AC9D6BD" w14:textId="77777777" w:rsidR="0061292C" w:rsidRPr="00D30B3D" w:rsidRDefault="0061292C" w:rsidP="00650830">
      <w:pPr>
        <w:jc w:val="both"/>
        <w:rPr>
          <w:b w:val="0"/>
        </w:rPr>
      </w:pPr>
    </w:p>
    <w:p w14:paraId="2C194D35" w14:textId="77777777" w:rsidR="0061292C" w:rsidRPr="00D30B3D" w:rsidRDefault="0061292C" w:rsidP="00650830">
      <w:pPr>
        <w:jc w:val="both"/>
        <w:rPr>
          <w:b w:val="0"/>
        </w:rPr>
      </w:pPr>
      <w:r w:rsidRPr="00D30B3D">
        <w:rPr>
          <w:b w:val="0"/>
        </w:rPr>
        <w:br w:type="page"/>
      </w:r>
    </w:p>
    <w:p w14:paraId="3C3C3BC6" w14:textId="3DCC7919" w:rsidR="00C275D6" w:rsidRPr="00D30B3D" w:rsidRDefault="003A7D32" w:rsidP="00650830">
      <w:pPr>
        <w:jc w:val="both"/>
        <w:rPr>
          <w:b w:val="0"/>
        </w:rPr>
      </w:pPr>
      <w:r w:rsidRPr="00D30B3D">
        <w:rPr>
          <w:b w:val="0"/>
        </w:rPr>
        <w:lastRenderedPageBreak/>
        <w:t xml:space="preserve">Einer Regelüberwachung durch die Gesundheitsämter unterliegen Zahnarztpraxen, anders als bspw. Krankenhäuser und Tageskliniken, nicht. </w:t>
      </w:r>
      <w:r w:rsidR="00650830" w:rsidRPr="00D30B3D">
        <w:rPr>
          <w:b w:val="0"/>
        </w:rPr>
        <w:t xml:space="preserve">Kontrollen sind nach § 10 Abs. 1 des Gesetzes über den öffentlichen Gesundheitsdienst (ÖGDG) regelmäßig darauf beschränkt, dass Anhaltspunkte dafür </w:t>
      </w:r>
      <w:r w:rsidR="008B4F6B" w:rsidRPr="00D30B3D">
        <w:rPr>
          <w:b w:val="0"/>
        </w:rPr>
        <w:br/>
      </w:r>
      <w:r w:rsidR="00650830" w:rsidRPr="00D30B3D">
        <w:rPr>
          <w:b w:val="0"/>
        </w:rPr>
        <w:t xml:space="preserve">vorliegen müssen, dass die Anforderungen der Hygiene nicht eingehalten werden. </w:t>
      </w:r>
      <w:r w:rsidR="002D7577" w:rsidRPr="00D30B3D">
        <w:rPr>
          <w:b w:val="0"/>
        </w:rPr>
        <w:t xml:space="preserve">Stichprobenartige Prüfungen können </w:t>
      </w:r>
      <w:r w:rsidR="005A487C" w:rsidRPr="00D30B3D">
        <w:rPr>
          <w:b w:val="0"/>
        </w:rPr>
        <w:t xml:space="preserve">auch ohne konkreten Anlass </w:t>
      </w:r>
      <w:r w:rsidR="002D7577" w:rsidRPr="00D30B3D">
        <w:rPr>
          <w:b w:val="0"/>
        </w:rPr>
        <w:t xml:space="preserve">jedoch auch auf der Grundlage </w:t>
      </w:r>
      <w:r w:rsidR="004A30CB" w:rsidRPr="00D30B3D">
        <w:rPr>
          <w:b w:val="0"/>
        </w:rPr>
        <w:t>des § 36 Abs. 2 IfSG</w:t>
      </w:r>
      <w:r w:rsidR="008B4F6B" w:rsidRPr="00D30B3D">
        <w:rPr>
          <w:b w:val="0"/>
        </w:rPr>
        <w:t xml:space="preserve"> durchgeführt werden</w:t>
      </w:r>
      <w:r w:rsidR="005A487C" w:rsidRPr="00D30B3D">
        <w:rPr>
          <w:b w:val="0"/>
        </w:rPr>
        <w:t>.</w:t>
      </w:r>
    </w:p>
    <w:p w14:paraId="0DBBC334" w14:textId="77777777" w:rsidR="00C275D6" w:rsidRPr="00D30B3D" w:rsidRDefault="00C275D6" w:rsidP="00650830">
      <w:pPr>
        <w:jc w:val="both"/>
        <w:rPr>
          <w:b w:val="0"/>
        </w:rPr>
      </w:pPr>
    </w:p>
    <w:p w14:paraId="62BA7DAD" w14:textId="77777777" w:rsidR="00222797" w:rsidRPr="00D30B3D" w:rsidRDefault="00222797" w:rsidP="00C275D6">
      <w:pPr>
        <w:rPr>
          <w:b w:val="0"/>
        </w:rPr>
      </w:pPr>
    </w:p>
    <w:p w14:paraId="6E2DC717" w14:textId="1420350A" w:rsidR="00222797" w:rsidRPr="00D30B3D" w:rsidRDefault="00C275D6" w:rsidP="008B4F6B">
      <w:pPr>
        <w:numPr>
          <w:ilvl w:val="0"/>
          <w:numId w:val="3"/>
        </w:numPr>
        <w:ind w:left="426" w:hanging="426"/>
        <w:rPr>
          <w:bCs/>
        </w:rPr>
      </w:pPr>
      <w:r w:rsidRPr="00D30B3D">
        <w:rPr>
          <w:bCs/>
        </w:rPr>
        <w:t>Befugnisse der Gesundheitsämter</w:t>
      </w:r>
    </w:p>
    <w:p w14:paraId="329F7B61" w14:textId="2B4CFB4D" w:rsidR="00C275D6" w:rsidRPr="00D30B3D" w:rsidRDefault="00C275D6" w:rsidP="00C275D6">
      <w:pPr>
        <w:rPr>
          <w:b w:val="0"/>
        </w:rPr>
      </w:pPr>
    </w:p>
    <w:p w14:paraId="43518241" w14:textId="1299ADB3" w:rsidR="00C275D6" w:rsidRPr="00D30B3D" w:rsidRDefault="000C550F" w:rsidP="00C275D6">
      <w:pPr>
        <w:jc w:val="both"/>
        <w:rPr>
          <w:b w:val="0"/>
        </w:rPr>
      </w:pPr>
      <w:r w:rsidRPr="00D30B3D">
        <w:rPr>
          <w:b w:val="0"/>
        </w:rPr>
        <w:t>Auf der Grundlage des § 15a Abs. 3 IfSG sind die Gesundheitsämter zur Erfüllung der ihnen obliegenden Überwachungsaufgaben befugt:</w:t>
      </w:r>
    </w:p>
    <w:p w14:paraId="59BF6502" w14:textId="1E92DAF1" w:rsidR="000C550F" w:rsidRPr="00D30B3D" w:rsidRDefault="000C550F" w:rsidP="00C275D6">
      <w:pPr>
        <w:jc w:val="both"/>
        <w:rPr>
          <w:b w:val="0"/>
        </w:rPr>
      </w:pPr>
    </w:p>
    <w:p w14:paraId="02E60188" w14:textId="32360CAA" w:rsidR="000C550F" w:rsidRPr="00D30B3D" w:rsidRDefault="00D71496" w:rsidP="00651EE8">
      <w:pPr>
        <w:numPr>
          <w:ilvl w:val="0"/>
          <w:numId w:val="4"/>
        </w:numPr>
        <w:ind w:left="426" w:hanging="426"/>
        <w:jc w:val="both"/>
        <w:rPr>
          <w:b w:val="0"/>
        </w:rPr>
      </w:pPr>
      <w:r w:rsidRPr="00D30B3D">
        <w:rPr>
          <w:b w:val="0"/>
        </w:rPr>
        <w:t>Praxisräume und Grundstücke zu betreten und zu besichtigen</w:t>
      </w:r>
    </w:p>
    <w:p w14:paraId="5E90B3DE" w14:textId="627F87A0" w:rsidR="00D71496" w:rsidRPr="00D30B3D" w:rsidRDefault="00D71496" w:rsidP="00651EE8">
      <w:pPr>
        <w:numPr>
          <w:ilvl w:val="0"/>
          <w:numId w:val="4"/>
        </w:numPr>
        <w:ind w:left="426" w:hanging="426"/>
        <w:jc w:val="both"/>
        <w:rPr>
          <w:b w:val="0"/>
        </w:rPr>
      </w:pPr>
      <w:r w:rsidRPr="00D30B3D">
        <w:rPr>
          <w:b w:val="0"/>
        </w:rPr>
        <w:t>soweit erforderlich Wohnräume zu betreten und zu besichtigen</w:t>
      </w:r>
    </w:p>
    <w:p w14:paraId="67F8B09B" w14:textId="30431183" w:rsidR="00D71496" w:rsidRPr="00D30B3D" w:rsidRDefault="00D71496" w:rsidP="00651EE8">
      <w:pPr>
        <w:numPr>
          <w:ilvl w:val="0"/>
          <w:numId w:val="4"/>
        </w:numPr>
        <w:ind w:left="426" w:hanging="426"/>
        <w:jc w:val="both"/>
        <w:rPr>
          <w:b w:val="0"/>
        </w:rPr>
      </w:pPr>
      <w:r w:rsidRPr="00D30B3D">
        <w:rPr>
          <w:b w:val="0"/>
        </w:rPr>
        <w:t xml:space="preserve">in Aufzeichnungen oder sonstige Unterlagen Einsicht zu nehmen und hieraus Abschriften, </w:t>
      </w:r>
      <w:r w:rsidR="00651EE8" w:rsidRPr="00D30B3D">
        <w:rPr>
          <w:b w:val="0"/>
        </w:rPr>
        <w:br/>
      </w:r>
      <w:r w:rsidRPr="00D30B3D">
        <w:rPr>
          <w:b w:val="0"/>
        </w:rPr>
        <w:t>Ablichtungen und Auszüge anzufertigen</w:t>
      </w:r>
    </w:p>
    <w:p w14:paraId="16ED9821" w14:textId="6DC8B9BD" w:rsidR="00D71496" w:rsidRPr="00D30B3D" w:rsidRDefault="00D71496" w:rsidP="00651EE8">
      <w:pPr>
        <w:numPr>
          <w:ilvl w:val="0"/>
          <w:numId w:val="4"/>
        </w:numPr>
        <w:ind w:left="426" w:hanging="426"/>
        <w:jc w:val="both"/>
        <w:rPr>
          <w:b w:val="0"/>
        </w:rPr>
      </w:pPr>
      <w:r w:rsidRPr="00D30B3D">
        <w:rPr>
          <w:b w:val="0"/>
        </w:rPr>
        <w:t>Proben zur Untersuchung zu fordern oder zu entnehmen</w:t>
      </w:r>
    </w:p>
    <w:p w14:paraId="488A85FD" w14:textId="6F5D2E06" w:rsidR="00D71496" w:rsidRPr="00D30B3D" w:rsidRDefault="00D71496" w:rsidP="00D71496">
      <w:pPr>
        <w:jc w:val="both"/>
        <w:rPr>
          <w:b w:val="0"/>
        </w:rPr>
      </w:pPr>
    </w:p>
    <w:p w14:paraId="64BB90B1" w14:textId="3DC73571" w:rsidR="00D71496" w:rsidRPr="00D30B3D" w:rsidRDefault="00D71496" w:rsidP="00D71496">
      <w:pPr>
        <w:jc w:val="both"/>
        <w:rPr>
          <w:b w:val="0"/>
        </w:rPr>
      </w:pPr>
      <w:r w:rsidRPr="00D30B3D">
        <w:rPr>
          <w:b w:val="0"/>
        </w:rPr>
        <w:t xml:space="preserve">Der bzw. die Praxisinhaber*innen sind verpflichtet ggf. den </w:t>
      </w:r>
      <w:r w:rsidR="008B4F6B" w:rsidRPr="00D30B3D">
        <w:rPr>
          <w:b w:val="0"/>
        </w:rPr>
        <w:t>Mitarbeiter</w:t>
      </w:r>
      <w:r w:rsidRPr="00D30B3D">
        <w:rPr>
          <w:b w:val="0"/>
        </w:rPr>
        <w:t>*innen des Gesundheitsamtes Zugang zu Räumen und Grundstücken zu verschaffen.</w:t>
      </w:r>
    </w:p>
    <w:p w14:paraId="25E7981B" w14:textId="40C2FB09" w:rsidR="003C50E8" w:rsidRPr="00D30B3D" w:rsidRDefault="003C50E8" w:rsidP="00D71496">
      <w:pPr>
        <w:jc w:val="both"/>
        <w:rPr>
          <w:b w:val="0"/>
        </w:rPr>
      </w:pPr>
    </w:p>
    <w:p w14:paraId="31C467F2" w14:textId="5CE8F215" w:rsidR="000C550F" w:rsidRPr="00D30B3D" w:rsidRDefault="003C50E8" w:rsidP="00C275D6">
      <w:pPr>
        <w:jc w:val="both"/>
        <w:rPr>
          <w:b w:val="0"/>
        </w:rPr>
      </w:pPr>
      <w:r w:rsidRPr="00D30B3D">
        <w:rPr>
          <w:b w:val="0"/>
        </w:rPr>
        <w:t>Soweit die Arbeiten des Gesundheitsamtes behindert werden, oder nicht kooperiert wird</w:t>
      </w:r>
      <w:r w:rsidR="00A64043" w:rsidRPr="00D30B3D">
        <w:rPr>
          <w:b w:val="0"/>
        </w:rPr>
        <w:t>,</w:t>
      </w:r>
      <w:r w:rsidRPr="00D30B3D">
        <w:rPr>
          <w:b w:val="0"/>
        </w:rPr>
        <w:t xml:space="preserve"> können </w:t>
      </w:r>
      <w:r w:rsidR="00651EE8" w:rsidRPr="00D30B3D">
        <w:rPr>
          <w:b w:val="0"/>
        </w:rPr>
        <w:br/>
      </w:r>
      <w:r w:rsidRPr="00D30B3D">
        <w:rPr>
          <w:b w:val="0"/>
        </w:rPr>
        <w:t xml:space="preserve">Bußgelder bis zu </w:t>
      </w:r>
      <w:r w:rsidR="00A64043" w:rsidRPr="00D30B3D">
        <w:rPr>
          <w:b w:val="0"/>
        </w:rPr>
        <w:t>25.000 Euro verhängt werden.</w:t>
      </w:r>
    </w:p>
    <w:p w14:paraId="50AAF859" w14:textId="34C4F26E" w:rsidR="00C275D6" w:rsidRPr="00D30B3D" w:rsidRDefault="00C275D6" w:rsidP="00C275D6">
      <w:pPr>
        <w:rPr>
          <w:b w:val="0"/>
        </w:rPr>
      </w:pPr>
    </w:p>
    <w:p w14:paraId="02952581" w14:textId="77777777" w:rsidR="002C0984" w:rsidRPr="00D30B3D" w:rsidRDefault="002C0984" w:rsidP="00C275D6">
      <w:pPr>
        <w:rPr>
          <w:b w:val="0"/>
        </w:rPr>
      </w:pPr>
    </w:p>
    <w:p w14:paraId="3C79202E" w14:textId="336F34AF" w:rsidR="00C275D6" w:rsidRPr="00D30B3D" w:rsidRDefault="005A487C" w:rsidP="00651EE8">
      <w:pPr>
        <w:numPr>
          <w:ilvl w:val="0"/>
          <w:numId w:val="3"/>
        </w:numPr>
        <w:ind w:left="426" w:hanging="426"/>
        <w:rPr>
          <w:bCs/>
        </w:rPr>
      </w:pPr>
      <w:r w:rsidRPr="00D30B3D">
        <w:rPr>
          <w:bCs/>
        </w:rPr>
        <w:t>Ablauf einer Begehung durch das Gesundheitsamt</w:t>
      </w:r>
    </w:p>
    <w:p w14:paraId="4C44E7C1" w14:textId="0FCE76EA" w:rsidR="005A487C" w:rsidRPr="00D30B3D" w:rsidRDefault="005A487C" w:rsidP="005A487C">
      <w:pPr>
        <w:rPr>
          <w:b w:val="0"/>
        </w:rPr>
      </w:pPr>
    </w:p>
    <w:p w14:paraId="0853C33B" w14:textId="68FEE4F5" w:rsidR="00513604" w:rsidRPr="00D30B3D" w:rsidRDefault="004423D7" w:rsidP="008F3ED2">
      <w:pPr>
        <w:rPr>
          <w:b w:val="0"/>
        </w:rPr>
      </w:pPr>
      <w:bookmarkStart w:id="1" w:name="Fließtext"/>
      <w:bookmarkEnd w:id="1"/>
      <w:r w:rsidRPr="00D30B3D">
        <w:rPr>
          <w:b w:val="0"/>
        </w:rPr>
        <w:t>Eine Begehung durch das Gesundheitsamt erfolgt üblicherweise nach diesem Schema:</w:t>
      </w:r>
    </w:p>
    <w:p w14:paraId="15A28AD6" w14:textId="17B4E293" w:rsidR="004423D7" w:rsidRPr="00D30B3D" w:rsidRDefault="004423D7" w:rsidP="008F3ED2">
      <w:pPr>
        <w:rPr>
          <w:b w:val="0"/>
        </w:rPr>
      </w:pPr>
    </w:p>
    <w:p w14:paraId="34AC7593" w14:textId="68E5D83F" w:rsidR="004423D7" w:rsidRPr="00D30B3D" w:rsidRDefault="004423D7" w:rsidP="00651EE8">
      <w:pPr>
        <w:numPr>
          <w:ilvl w:val="0"/>
          <w:numId w:val="4"/>
        </w:numPr>
        <w:ind w:left="426" w:hanging="426"/>
        <w:jc w:val="both"/>
        <w:rPr>
          <w:b w:val="0"/>
          <w:u w:val="single"/>
        </w:rPr>
      </w:pPr>
      <w:r w:rsidRPr="00D30B3D">
        <w:rPr>
          <w:b w:val="0"/>
          <w:u w:val="single"/>
        </w:rPr>
        <w:t>Terminankündigung und Anforderung von Unterlagen</w:t>
      </w:r>
      <w:r w:rsidR="00775288" w:rsidRPr="00D30B3D">
        <w:rPr>
          <w:b w:val="0"/>
          <w:u w:val="single"/>
        </w:rPr>
        <w:t>:</w:t>
      </w:r>
    </w:p>
    <w:p w14:paraId="1164E909" w14:textId="5B0C1560" w:rsidR="004423D7" w:rsidRPr="00D30B3D" w:rsidRDefault="004423D7" w:rsidP="00ED4AAE">
      <w:pPr>
        <w:ind w:left="426"/>
        <w:jc w:val="both"/>
        <w:rPr>
          <w:b w:val="0"/>
        </w:rPr>
      </w:pPr>
      <w:r w:rsidRPr="00D30B3D">
        <w:rPr>
          <w:b w:val="0"/>
        </w:rPr>
        <w:t xml:space="preserve">Prüfungen ohne besonderen Anlass werden vorher im Regelfall telefonisch oder schriftlich </w:t>
      </w:r>
      <w:r w:rsidR="00ED4AAE" w:rsidRPr="00D30B3D">
        <w:rPr>
          <w:b w:val="0"/>
        </w:rPr>
        <w:br/>
      </w:r>
      <w:r w:rsidRPr="00D30B3D">
        <w:rPr>
          <w:b w:val="0"/>
        </w:rPr>
        <w:t>angekündigt und es wird ein Termin vereinbart. Das Gesundheitsamt sendet dann der Praxis zunächst einen Selbstauskunftsbogen zu. Diesen Bogen muss der Praxisinhaber zusammen mit den geforderten Unterlagen innerhalb der angegebenen Frist zurücksenden.</w:t>
      </w:r>
      <w:r w:rsidRPr="00D30B3D">
        <w:rPr>
          <w:b w:val="0"/>
        </w:rPr>
        <w:cr/>
      </w:r>
    </w:p>
    <w:p w14:paraId="02F2F7AF" w14:textId="54A5C7BF" w:rsidR="00873673" w:rsidRPr="00D30B3D" w:rsidRDefault="00873673" w:rsidP="00651EE8">
      <w:pPr>
        <w:numPr>
          <w:ilvl w:val="0"/>
          <w:numId w:val="4"/>
        </w:numPr>
        <w:ind w:left="426" w:hanging="426"/>
        <w:jc w:val="both"/>
        <w:rPr>
          <w:b w:val="0"/>
          <w:u w:val="single"/>
        </w:rPr>
      </w:pPr>
      <w:r w:rsidRPr="00D30B3D">
        <w:rPr>
          <w:b w:val="0"/>
          <w:u w:val="single"/>
        </w:rPr>
        <w:t>Vorbesprechung und Besichtigung der Praxisräume</w:t>
      </w:r>
      <w:r w:rsidR="00775288" w:rsidRPr="00D30B3D">
        <w:rPr>
          <w:b w:val="0"/>
          <w:u w:val="single"/>
        </w:rPr>
        <w:t>:</w:t>
      </w:r>
    </w:p>
    <w:p w14:paraId="50B2D3DC" w14:textId="4477448C" w:rsidR="004423D7" w:rsidRPr="00D30B3D" w:rsidRDefault="00873673" w:rsidP="00ED4AAE">
      <w:pPr>
        <w:ind w:left="426"/>
        <w:jc w:val="both"/>
        <w:rPr>
          <w:b w:val="0"/>
        </w:rPr>
      </w:pPr>
      <w:r w:rsidRPr="00D30B3D">
        <w:rPr>
          <w:b w:val="0"/>
        </w:rPr>
        <w:t>Am Tag der Begehung findet in aller Regel ein Vorgespräch mit den verantwortlichen Personen in der Praxis statt. Danach werden die Räumlichkeiten gemeinsam besichtigt und Mitarbeiter*innen zu verschiedenen Abläufen befragt (zum Beispiel Händedesinfektion, Reinigung und Desinfektion von Flächen) und Unterlagen überprüft.</w:t>
      </w:r>
    </w:p>
    <w:p w14:paraId="5923CBDC" w14:textId="62663100" w:rsidR="004C76B7" w:rsidRPr="00D30B3D" w:rsidRDefault="004C76B7" w:rsidP="00ED4AAE">
      <w:pPr>
        <w:ind w:left="426"/>
        <w:jc w:val="both"/>
        <w:rPr>
          <w:b w:val="0"/>
        </w:rPr>
      </w:pPr>
    </w:p>
    <w:p w14:paraId="3F2C68CC" w14:textId="76ECC293" w:rsidR="004C76B7" w:rsidRPr="00D30B3D" w:rsidRDefault="004C76B7" w:rsidP="00651EE8">
      <w:pPr>
        <w:numPr>
          <w:ilvl w:val="0"/>
          <w:numId w:val="4"/>
        </w:numPr>
        <w:ind w:left="426" w:hanging="426"/>
        <w:jc w:val="both"/>
        <w:rPr>
          <w:b w:val="0"/>
          <w:u w:val="single"/>
        </w:rPr>
      </w:pPr>
      <w:r w:rsidRPr="00D30B3D">
        <w:rPr>
          <w:b w:val="0"/>
          <w:u w:val="single"/>
        </w:rPr>
        <w:t>Abschlussgespräch und Pr</w:t>
      </w:r>
      <w:r w:rsidR="002C0984" w:rsidRPr="00D30B3D">
        <w:rPr>
          <w:b w:val="0"/>
          <w:u w:val="single"/>
        </w:rPr>
        <w:t>otokoll der Begehung</w:t>
      </w:r>
      <w:r w:rsidR="00775288" w:rsidRPr="00D30B3D">
        <w:rPr>
          <w:b w:val="0"/>
          <w:u w:val="single"/>
        </w:rPr>
        <w:t>:</w:t>
      </w:r>
    </w:p>
    <w:p w14:paraId="0572A8F1" w14:textId="5E7B219A" w:rsidR="004C76B7" w:rsidRPr="00D30B3D" w:rsidRDefault="004C76B7" w:rsidP="00ED4AAE">
      <w:pPr>
        <w:ind w:left="426"/>
        <w:jc w:val="both"/>
        <w:rPr>
          <w:b w:val="0"/>
        </w:rPr>
      </w:pPr>
      <w:r w:rsidRPr="00D30B3D">
        <w:rPr>
          <w:b w:val="0"/>
        </w:rPr>
        <w:t xml:space="preserve">Die Begehung endet mit einem Abschlussgespräch mit </w:t>
      </w:r>
      <w:r w:rsidR="002C0984" w:rsidRPr="00D30B3D">
        <w:rPr>
          <w:b w:val="0"/>
        </w:rPr>
        <w:t>den Praxisinhaber*innen</w:t>
      </w:r>
      <w:r w:rsidRPr="00D30B3D">
        <w:rPr>
          <w:b w:val="0"/>
        </w:rPr>
        <w:t xml:space="preserve">. Hier </w:t>
      </w:r>
      <w:r w:rsidR="002C0984" w:rsidRPr="00D30B3D">
        <w:rPr>
          <w:b w:val="0"/>
        </w:rPr>
        <w:t xml:space="preserve">werden ggf. erste </w:t>
      </w:r>
      <w:r w:rsidRPr="00D30B3D">
        <w:rPr>
          <w:b w:val="0"/>
        </w:rPr>
        <w:t>Verbesserungsvorschläge</w:t>
      </w:r>
      <w:r w:rsidR="002C0984" w:rsidRPr="00D30B3D">
        <w:rPr>
          <w:b w:val="0"/>
        </w:rPr>
        <w:t xml:space="preserve"> gemacht</w:t>
      </w:r>
      <w:r w:rsidRPr="00D30B3D">
        <w:rPr>
          <w:b w:val="0"/>
        </w:rPr>
        <w:t>. Es folgt wenige Wochen später das Protokoll der Begehung. Hier sind nicht nur die</w:t>
      </w:r>
      <w:r w:rsidR="002C0984" w:rsidRPr="00D30B3D">
        <w:rPr>
          <w:b w:val="0"/>
        </w:rPr>
        <w:t xml:space="preserve"> </w:t>
      </w:r>
      <w:r w:rsidRPr="00D30B3D">
        <w:rPr>
          <w:b w:val="0"/>
        </w:rPr>
        <w:t xml:space="preserve">Mängel aufgeführt, sondern auch Hinweise und Empfehlungen, wie </w:t>
      </w:r>
      <w:r w:rsidR="002C0984" w:rsidRPr="00D30B3D">
        <w:rPr>
          <w:b w:val="0"/>
        </w:rPr>
        <w:t xml:space="preserve">diese </w:t>
      </w:r>
      <w:r w:rsidRPr="00D30B3D">
        <w:rPr>
          <w:b w:val="0"/>
        </w:rPr>
        <w:t>beseitigt werden können.</w:t>
      </w:r>
      <w:r w:rsidR="002C0984" w:rsidRPr="00D30B3D">
        <w:rPr>
          <w:b w:val="0"/>
        </w:rPr>
        <w:t xml:space="preserve"> </w:t>
      </w:r>
      <w:r w:rsidRPr="00D30B3D">
        <w:rPr>
          <w:b w:val="0"/>
        </w:rPr>
        <w:t xml:space="preserve">Grobe Fehler müssen </w:t>
      </w:r>
      <w:r w:rsidR="002C0984" w:rsidRPr="00D30B3D">
        <w:rPr>
          <w:b w:val="0"/>
        </w:rPr>
        <w:t>innerhalb einer</w:t>
      </w:r>
      <w:r w:rsidRPr="00D30B3D">
        <w:rPr>
          <w:b w:val="0"/>
        </w:rPr>
        <w:t xml:space="preserve"> bestimmten Frist behoben werden. Für die Praxisbegehungen erhebt das</w:t>
      </w:r>
      <w:r w:rsidR="002C0984" w:rsidRPr="00D30B3D">
        <w:rPr>
          <w:b w:val="0"/>
        </w:rPr>
        <w:t xml:space="preserve"> </w:t>
      </w:r>
      <w:r w:rsidRPr="00D30B3D">
        <w:rPr>
          <w:b w:val="0"/>
        </w:rPr>
        <w:t>Gesundheitsamt in der Regel eine Gebühr</w:t>
      </w:r>
      <w:r w:rsidR="002C0984" w:rsidRPr="00D30B3D">
        <w:rPr>
          <w:b w:val="0"/>
        </w:rPr>
        <w:t>.</w:t>
      </w:r>
    </w:p>
    <w:p w14:paraId="10756FB3" w14:textId="1C7C7A83" w:rsidR="0015547E" w:rsidRPr="00D30B3D" w:rsidRDefault="0015547E" w:rsidP="008F3ED2">
      <w:pPr>
        <w:rPr>
          <w:b w:val="0"/>
        </w:rPr>
      </w:pPr>
    </w:p>
    <w:p w14:paraId="6E74B261" w14:textId="77777777" w:rsidR="00ED4AAE" w:rsidRPr="00D30B3D" w:rsidRDefault="00ED4AAE" w:rsidP="008F3ED2">
      <w:pPr>
        <w:rPr>
          <w:b w:val="0"/>
        </w:rPr>
      </w:pPr>
    </w:p>
    <w:p w14:paraId="34439F34" w14:textId="34A40EE7" w:rsidR="00923F11" w:rsidRPr="00D30B3D" w:rsidRDefault="002C0984" w:rsidP="008F3ED2">
      <w:pPr>
        <w:rPr>
          <w:b w:val="0"/>
        </w:rPr>
      </w:pPr>
      <w:r w:rsidRPr="00D30B3D">
        <w:rPr>
          <w:b w:val="0"/>
        </w:rPr>
        <w:t>Ihre</w:t>
      </w:r>
    </w:p>
    <w:p w14:paraId="6BE3C0E6" w14:textId="1B6C155E" w:rsidR="00ED4AAE" w:rsidRDefault="002C0984" w:rsidP="008F3ED2">
      <w:pPr>
        <w:rPr>
          <w:b w:val="0"/>
        </w:rPr>
      </w:pPr>
      <w:r w:rsidRPr="00D30B3D">
        <w:rPr>
          <w:b w:val="0"/>
        </w:rPr>
        <w:t>LZK-Geschäftsstelle</w:t>
      </w:r>
    </w:p>
    <w:sectPr w:rsidR="00ED4AAE" w:rsidSect="00ED4AAE">
      <w:headerReference w:type="default" r:id="rId8"/>
      <w:footerReference w:type="even" r:id="rId9"/>
      <w:footerReference w:type="default" r:id="rId10"/>
      <w:headerReference w:type="first" r:id="rId11"/>
      <w:footerReference w:type="first" r:id="rId12"/>
      <w:pgSz w:w="11906" w:h="16838"/>
      <w:pgMar w:top="2410" w:right="1134" w:bottom="1134" w:left="964" w:header="720" w:footer="720" w:gutter="0"/>
      <w:cols w:space="720"/>
      <w:docGrid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3A775" w14:textId="77777777" w:rsidR="009A2B01" w:rsidRDefault="009A2B01">
      <w:r>
        <w:separator/>
      </w:r>
    </w:p>
  </w:endnote>
  <w:endnote w:type="continuationSeparator" w:id="0">
    <w:p w14:paraId="7DCA7824" w14:textId="77777777" w:rsidR="009A2B01" w:rsidRDefault="009A2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5D6EE" w14:textId="77777777" w:rsidR="00846C5D" w:rsidRDefault="00846C5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7F34585" w14:textId="77777777" w:rsidR="00846C5D" w:rsidRDefault="00846C5D">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227D2" w14:textId="40FAB648" w:rsidR="00846C5D" w:rsidRPr="00ED4AAE" w:rsidRDefault="00ED4AAE" w:rsidP="00ED4AAE">
    <w:pPr>
      <w:pStyle w:val="Fuzeile"/>
      <w:tabs>
        <w:tab w:val="clear" w:pos="4536"/>
        <w:tab w:val="clear" w:pos="9072"/>
        <w:tab w:val="center" w:pos="5387"/>
        <w:tab w:val="right" w:pos="9639"/>
      </w:tabs>
      <w:rPr>
        <w:b w:val="0"/>
        <w:sz w:val="20"/>
        <w:szCs w:val="20"/>
      </w:rPr>
    </w:pPr>
    <w:r>
      <w:rPr>
        <w:b w:val="0"/>
        <w:sz w:val="20"/>
        <w:szCs w:val="20"/>
      </w:rPr>
      <w:t>© LZK BW 08/2020</w:t>
    </w:r>
    <w:r>
      <w:rPr>
        <w:b w:val="0"/>
        <w:sz w:val="20"/>
        <w:szCs w:val="20"/>
      </w:rPr>
      <w:tab/>
      <w:t>Begehung von Zahnarztpraxen durch die Gesundheitsämter</w:t>
    </w:r>
    <w:r w:rsidRPr="00B567C9">
      <w:rPr>
        <w:b w:val="0"/>
        <w:sz w:val="20"/>
        <w:szCs w:val="20"/>
      </w:rPr>
      <w:tab/>
    </w:r>
    <w:r w:rsidRPr="00B567C9">
      <w:rPr>
        <w:rStyle w:val="Seitenzahl"/>
        <w:b w:val="0"/>
        <w:sz w:val="20"/>
        <w:szCs w:val="20"/>
      </w:rPr>
      <w:fldChar w:fldCharType="begin"/>
    </w:r>
    <w:r w:rsidRPr="00B567C9">
      <w:rPr>
        <w:rStyle w:val="Seitenzahl"/>
        <w:b w:val="0"/>
        <w:sz w:val="20"/>
        <w:szCs w:val="20"/>
      </w:rPr>
      <w:instrText xml:space="preserve"> PAGE </w:instrText>
    </w:r>
    <w:r w:rsidRPr="00B567C9">
      <w:rPr>
        <w:rStyle w:val="Seitenzahl"/>
        <w:b w:val="0"/>
        <w:sz w:val="20"/>
        <w:szCs w:val="20"/>
      </w:rPr>
      <w:fldChar w:fldCharType="separate"/>
    </w:r>
    <w:r>
      <w:rPr>
        <w:rStyle w:val="Seitenzahl"/>
        <w:b w:val="0"/>
        <w:sz w:val="20"/>
        <w:szCs w:val="20"/>
      </w:rPr>
      <w:t>1</w:t>
    </w:r>
    <w:r w:rsidRPr="00B567C9">
      <w:rPr>
        <w:rStyle w:val="Seitenzahl"/>
        <w:b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8BC9E" w14:textId="17BAD397" w:rsidR="00846C5D" w:rsidRPr="00B567C9" w:rsidRDefault="00222797" w:rsidP="00841C8B">
    <w:pPr>
      <w:pStyle w:val="Fuzeile"/>
      <w:tabs>
        <w:tab w:val="clear" w:pos="4536"/>
        <w:tab w:val="clear" w:pos="9072"/>
        <w:tab w:val="center" w:pos="5103"/>
        <w:tab w:val="right" w:pos="9639"/>
      </w:tabs>
      <w:rPr>
        <w:b w:val="0"/>
        <w:sz w:val="20"/>
        <w:szCs w:val="20"/>
      </w:rPr>
    </w:pPr>
    <w:r>
      <w:rPr>
        <w:b w:val="0"/>
        <w:sz w:val="20"/>
        <w:szCs w:val="20"/>
      </w:rPr>
      <w:t>©</w:t>
    </w:r>
    <w:r w:rsidR="00ED4AAE">
      <w:rPr>
        <w:b w:val="0"/>
        <w:sz w:val="20"/>
        <w:szCs w:val="20"/>
      </w:rPr>
      <w:t xml:space="preserve"> </w:t>
    </w:r>
    <w:r>
      <w:rPr>
        <w:b w:val="0"/>
        <w:sz w:val="20"/>
        <w:szCs w:val="20"/>
      </w:rPr>
      <w:t>LZK BW 08/2020</w:t>
    </w:r>
    <w:r>
      <w:rPr>
        <w:b w:val="0"/>
        <w:sz w:val="20"/>
        <w:szCs w:val="20"/>
      </w:rPr>
      <w:tab/>
      <w:t>Begehung von Zahnarztpraxen durch die Gesundheitsämter</w:t>
    </w:r>
    <w:r w:rsidR="00846C5D" w:rsidRPr="00B567C9">
      <w:rPr>
        <w:b w:val="0"/>
        <w:sz w:val="20"/>
        <w:szCs w:val="20"/>
      </w:rPr>
      <w:tab/>
    </w:r>
    <w:r w:rsidR="00846C5D" w:rsidRPr="00B567C9">
      <w:rPr>
        <w:rStyle w:val="Seitenzahl"/>
        <w:b w:val="0"/>
        <w:sz w:val="20"/>
        <w:szCs w:val="20"/>
      </w:rPr>
      <w:fldChar w:fldCharType="begin"/>
    </w:r>
    <w:r w:rsidR="00846C5D" w:rsidRPr="00B567C9">
      <w:rPr>
        <w:rStyle w:val="Seitenzahl"/>
        <w:b w:val="0"/>
        <w:sz w:val="20"/>
        <w:szCs w:val="20"/>
      </w:rPr>
      <w:instrText xml:space="preserve"> PAGE </w:instrText>
    </w:r>
    <w:r w:rsidR="00846C5D" w:rsidRPr="00B567C9">
      <w:rPr>
        <w:rStyle w:val="Seitenzahl"/>
        <w:b w:val="0"/>
        <w:sz w:val="20"/>
        <w:szCs w:val="20"/>
      </w:rPr>
      <w:fldChar w:fldCharType="separate"/>
    </w:r>
    <w:r w:rsidR="00B27124">
      <w:rPr>
        <w:rStyle w:val="Seitenzahl"/>
        <w:b w:val="0"/>
        <w:noProof/>
        <w:sz w:val="20"/>
        <w:szCs w:val="20"/>
      </w:rPr>
      <w:t>1</w:t>
    </w:r>
    <w:r w:rsidR="00846C5D" w:rsidRPr="00B567C9">
      <w:rPr>
        <w:rStyle w:val="Seitenzahl"/>
        <w:b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40F1E2" w14:textId="77777777" w:rsidR="009A2B01" w:rsidRDefault="009A2B01">
      <w:r>
        <w:separator/>
      </w:r>
    </w:p>
  </w:footnote>
  <w:footnote w:type="continuationSeparator" w:id="0">
    <w:p w14:paraId="19150E17" w14:textId="77777777" w:rsidR="009A2B01" w:rsidRDefault="009A2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1A16B" w14:textId="4D275A82" w:rsidR="00846C5D" w:rsidRPr="000206D4" w:rsidRDefault="003A7CCD">
    <w:pPr>
      <w:rPr>
        <w:b w:val="0"/>
      </w:rPr>
    </w:pPr>
    <w:r>
      <w:rPr>
        <w:noProof/>
      </w:rPr>
      <w:drawing>
        <wp:anchor distT="0" distB="0" distL="114300" distR="114300" simplePos="0" relativeHeight="251658240" behindDoc="0" locked="1" layoutInCell="1" allowOverlap="0" wp14:anchorId="50C546FC" wp14:editId="40F9E086">
          <wp:simplePos x="0" y="0"/>
          <wp:positionH relativeFrom="column">
            <wp:posOffset>5100955</wp:posOffset>
          </wp:positionH>
          <wp:positionV relativeFrom="page">
            <wp:posOffset>477520</wp:posOffset>
          </wp:positionV>
          <wp:extent cx="1656080" cy="407670"/>
          <wp:effectExtent l="0" t="0" r="0" b="0"/>
          <wp:wrapNone/>
          <wp:docPr id="13"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080" cy="4076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4124CA" wp14:editId="659D7179">
          <wp:extent cx="3600450" cy="666750"/>
          <wp:effectExtent l="0" t="0" r="0" b="0"/>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00450" cy="6667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6FF23" w14:textId="4C18DB22" w:rsidR="00846C5D" w:rsidRDefault="003A7CCD" w:rsidP="002127A9">
    <w:pPr>
      <w:pStyle w:val="Kopfzeile"/>
    </w:pPr>
    <w:r>
      <w:rPr>
        <w:noProof/>
      </w:rPr>
      <w:drawing>
        <wp:anchor distT="0" distB="0" distL="114300" distR="114300" simplePos="0" relativeHeight="251657216" behindDoc="0" locked="1" layoutInCell="0" allowOverlap="0" wp14:anchorId="4D2D1ACB" wp14:editId="091D8235">
          <wp:simplePos x="0" y="0"/>
          <wp:positionH relativeFrom="column">
            <wp:posOffset>5120005</wp:posOffset>
          </wp:positionH>
          <wp:positionV relativeFrom="page">
            <wp:posOffset>467995</wp:posOffset>
          </wp:positionV>
          <wp:extent cx="1656080" cy="407670"/>
          <wp:effectExtent l="0" t="0" r="0" b="0"/>
          <wp:wrapNone/>
          <wp:docPr id="15"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080" cy="4076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669CD8A" wp14:editId="4699BE6B">
          <wp:extent cx="3600450" cy="666750"/>
          <wp:effectExtent l="0" t="0" r="0" b="0"/>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0045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F43CC6"/>
    <w:multiLevelType w:val="multilevel"/>
    <w:tmpl w:val="017400DC"/>
    <w:lvl w:ilvl="0">
      <w:start w:val="1"/>
      <w:numFmt w:val="upperRoman"/>
      <w:pStyle w:val="berschrift1"/>
      <w:lvlText w:val="%1."/>
      <w:lvlJc w:val="left"/>
      <w:pPr>
        <w:tabs>
          <w:tab w:val="num" w:pos="-360"/>
        </w:tabs>
        <w:ind w:left="-720" w:firstLine="0"/>
      </w:pPr>
      <w:rPr>
        <w:rFonts w:hint="default"/>
      </w:rPr>
    </w:lvl>
    <w:lvl w:ilvl="1">
      <w:start w:val="1"/>
      <w:numFmt w:val="decimal"/>
      <w:pStyle w:val="berschrift2"/>
      <w:lvlText w:val="%2."/>
      <w:lvlJc w:val="left"/>
      <w:pPr>
        <w:tabs>
          <w:tab w:val="num" w:pos="360"/>
        </w:tabs>
        <w:ind w:left="0" w:firstLine="0"/>
      </w:pPr>
      <w:rPr>
        <w:rFonts w:hint="default"/>
      </w:rPr>
    </w:lvl>
    <w:lvl w:ilvl="2">
      <w:start w:val="1"/>
      <w:numFmt w:val="decimal"/>
      <w:pStyle w:val="berschrift3"/>
      <w:lvlText w:val="%2.%3."/>
      <w:lvlJc w:val="left"/>
      <w:pPr>
        <w:tabs>
          <w:tab w:val="num" w:pos="357"/>
        </w:tabs>
        <w:ind w:left="0" w:firstLine="0"/>
      </w:pPr>
      <w:rPr>
        <w:rFonts w:hint="default"/>
      </w:rPr>
    </w:lvl>
    <w:lvl w:ilvl="3">
      <w:start w:val="1"/>
      <w:numFmt w:val="decimal"/>
      <w:pStyle w:val="berschrift4"/>
      <w:lvlText w:val="%2.%3.%4"/>
      <w:lvlJc w:val="left"/>
      <w:pPr>
        <w:tabs>
          <w:tab w:val="num" w:pos="357"/>
        </w:tabs>
        <w:ind w:left="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1" w15:restartNumberingAfterBreak="0">
    <w:nsid w:val="40414928"/>
    <w:multiLevelType w:val="hybridMultilevel"/>
    <w:tmpl w:val="96BC3D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35321"/>
    <w:multiLevelType w:val="hybridMultilevel"/>
    <w:tmpl w:val="C9CAC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C44504"/>
    <w:multiLevelType w:val="hybridMultilevel"/>
    <w:tmpl w:val="EC32D3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5CA633F"/>
    <w:multiLevelType w:val="hybridMultilevel"/>
    <w:tmpl w:val="4D7C0A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74B0806"/>
    <w:multiLevelType w:val="hybridMultilevel"/>
    <w:tmpl w:val="358E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797"/>
    <w:rsid w:val="000206D4"/>
    <w:rsid w:val="00037F41"/>
    <w:rsid w:val="00050830"/>
    <w:rsid w:val="000769FC"/>
    <w:rsid w:val="00096B5F"/>
    <w:rsid w:val="000C550F"/>
    <w:rsid w:val="000C6263"/>
    <w:rsid w:val="000F49E7"/>
    <w:rsid w:val="001058D8"/>
    <w:rsid w:val="00110D65"/>
    <w:rsid w:val="00143930"/>
    <w:rsid w:val="0015547E"/>
    <w:rsid w:val="001A4F3D"/>
    <w:rsid w:val="001C3377"/>
    <w:rsid w:val="001D2589"/>
    <w:rsid w:val="002127A9"/>
    <w:rsid w:val="00222797"/>
    <w:rsid w:val="00240EF9"/>
    <w:rsid w:val="0024368E"/>
    <w:rsid w:val="00263C2E"/>
    <w:rsid w:val="00267EB4"/>
    <w:rsid w:val="00290D8B"/>
    <w:rsid w:val="002C0984"/>
    <w:rsid w:val="002C224A"/>
    <w:rsid w:val="002D1B91"/>
    <w:rsid w:val="002D6582"/>
    <w:rsid w:val="002D7577"/>
    <w:rsid w:val="002F7884"/>
    <w:rsid w:val="003A7CCD"/>
    <w:rsid w:val="003A7D32"/>
    <w:rsid w:val="003B1E81"/>
    <w:rsid w:val="003C50E8"/>
    <w:rsid w:val="0040255A"/>
    <w:rsid w:val="004423D7"/>
    <w:rsid w:val="004A30CB"/>
    <w:rsid w:val="004A4A6A"/>
    <w:rsid w:val="004C053D"/>
    <w:rsid w:val="004C37EB"/>
    <w:rsid w:val="004C76B7"/>
    <w:rsid w:val="00513604"/>
    <w:rsid w:val="0052714C"/>
    <w:rsid w:val="0055393B"/>
    <w:rsid w:val="00581B7A"/>
    <w:rsid w:val="005A487C"/>
    <w:rsid w:val="005B1F10"/>
    <w:rsid w:val="005C0827"/>
    <w:rsid w:val="005E7AA3"/>
    <w:rsid w:val="00600F0E"/>
    <w:rsid w:val="0061292C"/>
    <w:rsid w:val="00650830"/>
    <w:rsid w:val="00651EE8"/>
    <w:rsid w:val="00655615"/>
    <w:rsid w:val="006C5B17"/>
    <w:rsid w:val="006F6C18"/>
    <w:rsid w:val="00775288"/>
    <w:rsid w:val="007A08D3"/>
    <w:rsid w:val="007A3349"/>
    <w:rsid w:val="00831575"/>
    <w:rsid w:val="00841C8B"/>
    <w:rsid w:val="00846C5D"/>
    <w:rsid w:val="00847F46"/>
    <w:rsid w:val="00873673"/>
    <w:rsid w:val="00877907"/>
    <w:rsid w:val="008B4F6B"/>
    <w:rsid w:val="008D2120"/>
    <w:rsid w:val="008F3ED2"/>
    <w:rsid w:val="00923F11"/>
    <w:rsid w:val="0093432D"/>
    <w:rsid w:val="00997A54"/>
    <w:rsid w:val="009A2B01"/>
    <w:rsid w:val="00A07D46"/>
    <w:rsid w:val="00A64043"/>
    <w:rsid w:val="00AA600B"/>
    <w:rsid w:val="00B02FFF"/>
    <w:rsid w:val="00B0507E"/>
    <w:rsid w:val="00B0650D"/>
    <w:rsid w:val="00B27124"/>
    <w:rsid w:val="00B50A33"/>
    <w:rsid w:val="00B553BB"/>
    <w:rsid w:val="00B567C9"/>
    <w:rsid w:val="00B61B43"/>
    <w:rsid w:val="00BE6F35"/>
    <w:rsid w:val="00BF4ABE"/>
    <w:rsid w:val="00C275D6"/>
    <w:rsid w:val="00C64F2E"/>
    <w:rsid w:val="00C661A2"/>
    <w:rsid w:val="00C94B38"/>
    <w:rsid w:val="00CB018B"/>
    <w:rsid w:val="00D13CD6"/>
    <w:rsid w:val="00D21DF2"/>
    <w:rsid w:val="00D30B3D"/>
    <w:rsid w:val="00D4624E"/>
    <w:rsid w:val="00D47D5B"/>
    <w:rsid w:val="00D5265D"/>
    <w:rsid w:val="00D71496"/>
    <w:rsid w:val="00E806AD"/>
    <w:rsid w:val="00EA3F9F"/>
    <w:rsid w:val="00EA7CB4"/>
    <w:rsid w:val="00EC548F"/>
    <w:rsid w:val="00ED4AAE"/>
    <w:rsid w:val="00F333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8E0A19C"/>
  <w15:chartTrackingRefBased/>
  <w15:docId w15:val="{68901EBB-5FE5-43D0-AC73-FA21150C8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b/>
      <w:sz w:val="22"/>
      <w:szCs w:val="22"/>
    </w:rPr>
  </w:style>
  <w:style w:type="paragraph" w:styleId="berschrift1">
    <w:name w:val="heading 1"/>
    <w:basedOn w:val="Standard"/>
    <w:next w:val="Standard"/>
    <w:qFormat/>
    <w:rsid w:val="007A08D3"/>
    <w:pPr>
      <w:keepNext/>
      <w:numPr>
        <w:numId w:val="1"/>
      </w:numPr>
      <w:pBdr>
        <w:top w:val="single" w:sz="4" w:space="1" w:color="auto"/>
        <w:left w:val="single" w:sz="4" w:space="4" w:color="auto"/>
        <w:bottom w:val="single" w:sz="4" w:space="1" w:color="auto"/>
        <w:right w:val="single" w:sz="4" w:space="4" w:color="auto"/>
      </w:pBdr>
      <w:jc w:val="both"/>
      <w:outlineLvl w:val="0"/>
    </w:pPr>
    <w:rPr>
      <w:rFonts w:cs="Times New Roman"/>
      <w:noProof/>
      <w:spacing w:val="30"/>
      <w:sz w:val="28"/>
      <w:szCs w:val="28"/>
    </w:rPr>
  </w:style>
  <w:style w:type="paragraph" w:styleId="berschrift2">
    <w:name w:val="heading 2"/>
    <w:basedOn w:val="Standard"/>
    <w:next w:val="Standard"/>
    <w:qFormat/>
    <w:rsid w:val="007A08D3"/>
    <w:pPr>
      <w:keepNext/>
      <w:numPr>
        <w:ilvl w:val="1"/>
        <w:numId w:val="1"/>
      </w:numPr>
      <w:outlineLvl w:val="1"/>
    </w:pPr>
    <w:rPr>
      <w:rFonts w:cs="Times New Roman"/>
      <w:noProof/>
      <w:spacing w:val="26"/>
      <w:sz w:val="24"/>
    </w:rPr>
  </w:style>
  <w:style w:type="paragraph" w:styleId="berschrift3">
    <w:name w:val="heading 3"/>
    <w:basedOn w:val="Standard"/>
    <w:next w:val="Standard"/>
    <w:qFormat/>
    <w:rsid w:val="007A08D3"/>
    <w:pPr>
      <w:keepNext/>
      <w:numPr>
        <w:ilvl w:val="2"/>
        <w:numId w:val="1"/>
      </w:numPr>
      <w:outlineLvl w:val="2"/>
    </w:pPr>
    <w:rPr>
      <w:rFonts w:cs="Times New Roman"/>
      <w:noProof/>
      <w:szCs w:val="20"/>
    </w:rPr>
  </w:style>
  <w:style w:type="paragraph" w:styleId="berschrift4">
    <w:name w:val="heading 4"/>
    <w:basedOn w:val="Standard"/>
    <w:next w:val="Standard"/>
    <w:qFormat/>
    <w:rsid w:val="007A08D3"/>
    <w:pPr>
      <w:keepNext/>
      <w:numPr>
        <w:ilvl w:val="3"/>
        <w:numId w:val="1"/>
      </w:numPr>
      <w:outlineLvl w:val="3"/>
    </w:pPr>
    <w:rPr>
      <w:rFonts w:cs="Times New Roman"/>
      <w:b w:val="0"/>
      <w:noProof/>
      <w:szCs w:val="20"/>
    </w:rPr>
  </w:style>
  <w:style w:type="paragraph" w:styleId="berschrift5">
    <w:name w:val="heading 5"/>
    <w:basedOn w:val="Standard"/>
    <w:next w:val="Standard"/>
    <w:qFormat/>
    <w:rsid w:val="002D1B91"/>
    <w:pPr>
      <w:keepNext/>
      <w:outlineLvl w:val="4"/>
    </w:pPr>
    <w:rPr>
      <w:sz w:val="28"/>
    </w:rPr>
  </w:style>
  <w:style w:type="paragraph" w:styleId="berschrift6">
    <w:name w:val="heading 6"/>
    <w:basedOn w:val="Standard"/>
    <w:next w:val="Standard"/>
    <w:qFormat/>
    <w:rsid w:val="002D1B91"/>
    <w:pPr>
      <w:keepNext/>
      <w:outlineLvl w:val="5"/>
    </w:pPr>
    <w:rPr>
      <w:sz w:val="28"/>
    </w:rPr>
  </w:style>
  <w:style w:type="paragraph" w:styleId="berschrift7">
    <w:name w:val="heading 7"/>
    <w:basedOn w:val="Standard"/>
    <w:next w:val="Standard"/>
    <w:qFormat/>
    <w:rsid w:val="002D1B91"/>
    <w:pPr>
      <w:keepNext/>
      <w:outlineLvl w:val="6"/>
    </w:pPr>
    <w:rPr>
      <w:sz w:val="28"/>
    </w:rPr>
  </w:style>
  <w:style w:type="paragraph" w:styleId="berschrift8">
    <w:name w:val="heading 8"/>
    <w:basedOn w:val="Standard"/>
    <w:next w:val="Standard"/>
    <w:qFormat/>
    <w:rsid w:val="002D1B91"/>
    <w:pPr>
      <w:keepNext/>
      <w:outlineLvl w:val="7"/>
    </w:pPr>
    <w:rPr>
      <w:b w:val="0"/>
      <w:sz w:val="5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rPr>
      <w:b w:val="0"/>
      <w:u w:val="single"/>
    </w:rPr>
  </w:style>
  <w:style w:type="character" w:styleId="Seitenzahl">
    <w:name w:val="page number"/>
    <w:basedOn w:val="Absatz-Standardschriftart"/>
  </w:style>
  <w:style w:type="paragraph" w:customStyle="1" w:styleId="text">
    <w:name w:val="text"/>
    <w:basedOn w:val="Standard"/>
    <w:pPr>
      <w:spacing w:line="360" w:lineRule="atLeast"/>
      <w:ind w:left="1134" w:right="4026"/>
    </w:pPr>
    <w:rPr>
      <w:sz w:val="24"/>
    </w:rPr>
  </w:style>
  <w:style w:type="paragraph" w:styleId="Textkrper2">
    <w:name w:val="Body Text 2"/>
    <w:basedOn w:val="Standard"/>
    <w:rPr>
      <w:sz w:val="24"/>
    </w:rPr>
  </w:style>
  <w:style w:type="paragraph" w:styleId="Textkrper3">
    <w:name w:val="Body Text 3"/>
    <w:basedOn w:val="Standard"/>
    <w:rPr>
      <w:i/>
      <w:sz w:val="24"/>
    </w:rPr>
  </w:style>
  <w:style w:type="paragraph" w:styleId="Textkrper-Zeileneinzug">
    <w:name w:val="Body Text Indent"/>
    <w:basedOn w:val="Standard"/>
    <w:pPr>
      <w:ind w:left="360"/>
    </w:pPr>
    <w:rPr>
      <w:sz w:val="28"/>
    </w:rPr>
  </w:style>
  <w:style w:type="character" w:styleId="Hyperlink">
    <w:name w:val="Hyperlink"/>
    <w:rPr>
      <w:color w:val="0000FF"/>
      <w:u w:val="single"/>
    </w:rPr>
  </w:style>
  <w:style w:type="paragraph" w:customStyle="1" w:styleId="DefinitionList">
    <w:name w:val="Definition List"/>
    <w:basedOn w:val="Standard"/>
    <w:next w:val="Standard"/>
    <w:pPr>
      <w:ind w:left="360"/>
    </w:pPr>
    <w:rPr>
      <w:snapToGrid w:val="0"/>
    </w:rPr>
  </w:style>
  <w:style w:type="paragraph" w:styleId="Textkrper-Einzug2">
    <w:name w:val="Body Text Indent 2"/>
    <w:basedOn w:val="Standard"/>
    <w:pPr>
      <w:ind w:left="75"/>
    </w:pPr>
    <w:rPr>
      <w:sz w:val="28"/>
    </w:rPr>
  </w:style>
  <w:style w:type="character" w:styleId="Kommentarzeichen">
    <w:name w:val="annotation reference"/>
    <w:semiHidden/>
    <w:rPr>
      <w:rFonts w:ascii="Arial" w:hAnsi="Arial" w:cs="Arial"/>
      <w:sz w:val="16"/>
    </w:rPr>
  </w:style>
  <w:style w:type="paragraph" w:styleId="Kommentartext">
    <w:name w:val="annotation text"/>
    <w:basedOn w:val="Standard"/>
    <w:semiHidden/>
  </w:style>
  <w:style w:type="paragraph" w:styleId="Titel">
    <w:name w:val="Title"/>
    <w:basedOn w:val="Standard"/>
    <w:qFormat/>
    <w:pPr>
      <w:jc w:val="center"/>
    </w:pPr>
    <w:rPr>
      <w:b w:val="0"/>
      <w:i/>
      <w:sz w:val="28"/>
    </w:rPr>
  </w:style>
  <w:style w:type="character" w:styleId="NichtaufgelsteErwhnung">
    <w:name w:val="Unresolved Mention"/>
    <w:basedOn w:val="Absatz-Standardschriftart"/>
    <w:uiPriority w:val="99"/>
    <w:semiHidden/>
    <w:unhideWhenUsed/>
    <w:rsid w:val="0061292C"/>
    <w:rPr>
      <w:color w:val="605E5C"/>
      <w:shd w:val="clear" w:color="auto" w:fill="E1DFDD"/>
    </w:rPr>
  </w:style>
  <w:style w:type="character" w:styleId="BesuchterLink">
    <w:name w:val="FollowedHyperlink"/>
    <w:basedOn w:val="Absatz-Standardschriftart"/>
    <w:rsid w:val="0061292C"/>
    <w:rPr>
      <w:color w:val="954F72" w:themeColor="followedHyperlink"/>
      <w:u w:val="single"/>
    </w:rPr>
  </w:style>
  <w:style w:type="paragraph" w:styleId="Sprechblasentext">
    <w:name w:val="Balloon Text"/>
    <w:basedOn w:val="Standard"/>
    <w:link w:val="SprechblasentextZchn"/>
    <w:rsid w:val="00C661A2"/>
    <w:rPr>
      <w:rFonts w:ascii="Segoe UI" w:hAnsi="Segoe UI" w:cs="Segoe UI"/>
      <w:sz w:val="18"/>
      <w:szCs w:val="18"/>
    </w:rPr>
  </w:style>
  <w:style w:type="character" w:customStyle="1" w:styleId="SprechblasentextZchn">
    <w:name w:val="Sprechblasentext Zchn"/>
    <w:basedOn w:val="Absatz-Standardschriftart"/>
    <w:link w:val="Sprechblasentext"/>
    <w:rsid w:val="00C661A2"/>
    <w:rPr>
      <w:rFonts w:ascii="Segoe UI" w:hAnsi="Segoe UI" w:cs="Segoe UI"/>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hb.lzk-bw.de/PHB-CD/Praxisbegehung/Checkliste_IfSG_Gesundheitsamt.doc"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Interne%20Verwaltung\Dokumentenvorlagen\Extern\15-Merkbl&#228;tter.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15-Merkblätter.dot</Template>
  <TotalTime>0</TotalTime>
  <Pages>2</Pages>
  <Words>611</Words>
  <Characters>4390</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Baustein „Betriebswirtschaftliche Aspekte,</vt:lpstr>
    </vt:vector>
  </TitlesOfParts>
  <Company>LZK</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Baustein „Betriebswirtschaftliche Aspekte,</dc:title>
  <dc:subject/>
  <dc:creator>Oschmann, Stefan</dc:creator>
  <cp:keywords/>
  <cp:lastModifiedBy>Wagner, Marco</cp:lastModifiedBy>
  <cp:revision>4</cp:revision>
  <cp:lastPrinted>2002-01-09T09:19:00Z</cp:lastPrinted>
  <dcterms:created xsi:type="dcterms:W3CDTF">2020-08-21T06:14:00Z</dcterms:created>
  <dcterms:modified xsi:type="dcterms:W3CDTF">2020-08-21T10:32:00Z</dcterms:modified>
</cp:coreProperties>
</file>